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1C2A5E"/>
          <w:sz w:val="40"/>
        </w:rPr>
        <w:t xml:space="preserve">Trip budget</w:t>
      </w:r>
    </w:p>
    <w:p>
      <w:pPr>
        <w:spacing w:after="240"/>
      </w:pPr>
      <w:r>
        <w:rPr>
          <w:color w:val="575C70"/>
          <w:sz w:val="20"/>
        </w:rPr>
        <w:t xml:space="preserve">[Trip name] · [dates] · [travelers]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7056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Trip details</w:t>
            </w:r>
          </w:p>
        </w:tc>
        <w:tc>
          <w:tcPr>
            <w:tcW w:w="7056" w:type="dxa"/>
            <w:shd w:val="clear" w:color="auto" w:fill="1C2A5E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Total budget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Travelers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By category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Category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Planned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Spent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Difference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Flights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Lodging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Local transport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Food and drinks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Tours and tickets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Travel insurance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Shopping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Other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Total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Daily spending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What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Category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Paid by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7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8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9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10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15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16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17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18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19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20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75C70"/>
          <w:sz w:val="16"/>
        </w:rPr>
        <w:t xml:space="preserve">Free template from freeitinerarytemplate.com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4161F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